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97E" w:rsidRDefault="0069497E" w:rsidP="0069497E">
      <w:pPr>
        <w:pStyle w:val="HTMLconformatoprevio"/>
        <w:shd w:val="clear" w:color="auto" w:fill="F8F9FA"/>
        <w:spacing w:line="540" w:lineRule="atLeast"/>
        <w:rPr>
          <w:rStyle w:val="y2iqfc"/>
          <w:rFonts w:ascii="inherit" w:hAnsi="inherit"/>
          <w:color w:val="202124"/>
          <w:sz w:val="42"/>
          <w:szCs w:val="42"/>
          <w:lang w:val="es-ES"/>
        </w:rPr>
      </w:pPr>
      <w:bookmarkStart w:id="0" w:name="_GoBack"/>
      <w:r>
        <w:rPr>
          <w:rStyle w:val="y2iqfc"/>
          <w:rFonts w:ascii="inherit" w:hAnsi="inherit"/>
          <w:color w:val="202124"/>
          <w:sz w:val="42"/>
          <w:szCs w:val="42"/>
          <w:lang w:val="es-ES"/>
        </w:rPr>
        <w:t xml:space="preserve">Escáner </w:t>
      </w:r>
      <w:proofErr w:type="spellStart"/>
      <w:r>
        <w:rPr>
          <w:rStyle w:val="y2iqfc"/>
          <w:rFonts w:ascii="inherit" w:hAnsi="inherit"/>
          <w:color w:val="202124"/>
          <w:sz w:val="42"/>
          <w:szCs w:val="42"/>
          <w:lang w:val="es-ES"/>
        </w:rPr>
        <w:t>multiespectral</w:t>
      </w:r>
      <w:proofErr w:type="spellEnd"/>
      <w:r>
        <w:rPr>
          <w:rStyle w:val="y2iqfc"/>
          <w:rFonts w:ascii="inherit" w:hAnsi="inherit"/>
          <w:color w:val="202124"/>
          <w:sz w:val="42"/>
          <w:szCs w:val="42"/>
          <w:lang w:val="es-ES"/>
        </w:rPr>
        <w:t xml:space="preserve"> (MSS)</w:t>
      </w:r>
    </w:p>
    <w:p w:rsidR="0069497E" w:rsidRDefault="0069497E" w:rsidP="0069497E">
      <w:pPr>
        <w:pStyle w:val="HTMLconformatoprevio"/>
        <w:shd w:val="clear" w:color="auto" w:fill="F8F9FA"/>
        <w:spacing w:line="540" w:lineRule="atLeast"/>
        <w:rPr>
          <w:rStyle w:val="y2iqfc"/>
          <w:rFonts w:ascii="inherit" w:hAnsi="inherit"/>
          <w:color w:val="202124"/>
          <w:sz w:val="42"/>
          <w:szCs w:val="42"/>
          <w:lang w:val="es-ES"/>
        </w:rPr>
      </w:pPr>
    </w:p>
    <w:bookmarkEnd w:id="0"/>
    <w:p w:rsidR="0069497E" w:rsidRDefault="0069497E" w:rsidP="0069497E">
      <w:pPr>
        <w:pStyle w:val="HTMLconformatoprevio"/>
        <w:shd w:val="clear" w:color="auto" w:fill="F8F9FA"/>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Los sensores MSS eran dispositivos de exploración lineal que observaban la Tierra perpendicularmente a la trayectoria orbital. El escaneo transversal se realizó mediante un espejo oscilante; Se escanearon seis líneas simultáneamente en cada una de las cuatro bandas espectrales para cada barrido de espejo. El movimiento de avance del satélite proporcionó la progresión de la línea de exploración a lo largo de la trayectoria.</w:t>
      </w:r>
    </w:p>
    <w:p w:rsidR="0069497E" w:rsidRDefault="0069497E" w:rsidP="0069497E">
      <w:pPr>
        <w:pStyle w:val="HTMLconformatoprevio"/>
        <w:shd w:val="clear" w:color="auto" w:fill="F8F9FA"/>
        <w:spacing w:line="540" w:lineRule="atLeast"/>
        <w:rPr>
          <w:rStyle w:val="y2iqfc"/>
          <w:rFonts w:ascii="inherit" w:hAnsi="inherit"/>
          <w:color w:val="202124"/>
          <w:sz w:val="42"/>
          <w:szCs w:val="42"/>
          <w:lang w:val="es-ES"/>
        </w:rPr>
      </w:pPr>
    </w:p>
    <w:p w:rsidR="0069497E" w:rsidRDefault="0069497E" w:rsidP="0069497E">
      <w:pPr>
        <w:pStyle w:val="HTMLconformatoprevio"/>
        <w:shd w:val="clear" w:color="auto" w:fill="F8F9FA"/>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Resolución terrestre de 80 metros en cuatro bandas espectrales:</w:t>
      </w:r>
    </w:p>
    <w:p w:rsidR="0069497E" w:rsidRDefault="0069497E" w:rsidP="0069497E">
      <w:pPr>
        <w:pStyle w:val="HTMLconformatoprevio"/>
        <w:shd w:val="clear" w:color="auto" w:fill="F8F9FA"/>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Banda 4 Verde visible (0,5 a 0,6 µm)</w:t>
      </w:r>
    </w:p>
    <w:p w:rsidR="0069497E" w:rsidRDefault="0069497E" w:rsidP="0069497E">
      <w:pPr>
        <w:pStyle w:val="HTMLconformatoprevio"/>
        <w:shd w:val="clear" w:color="auto" w:fill="F8F9FA"/>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Banda 5 Rojo visible (0,6 a 0,7 µm)</w:t>
      </w:r>
    </w:p>
    <w:p w:rsidR="0069497E" w:rsidRDefault="0069497E" w:rsidP="0069497E">
      <w:pPr>
        <w:pStyle w:val="HTMLconformatoprevio"/>
        <w:shd w:val="clear" w:color="auto" w:fill="F8F9FA"/>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Banda 6 Infrarrojo cercano (0,7 a 0,8 µm)</w:t>
      </w:r>
    </w:p>
    <w:p w:rsidR="0069497E" w:rsidRDefault="0069497E" w:rsidP="0069497E">
      <w:pPr>
        <w:pStyle w:val="HTMLconformatoprevio"/>
        <w:shd w:val="clear" w:color="auto" w:fill="F8F9FA"/>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Banda 7 Infrarrojo cercano (0,8 a 1,1 µm)</w:t>
      </w:r>
    </w:p>
    <w:p w:rsidR="0069497E" w:rsidRDefault="0069497E" w:rsidP="0069497E">
      <w:pPr>
        <w:pStyle w:val="HTMLconformatoprevio"/>
        <w:shd w:val="clear" w:color="auto" w:fill="F8F9FA"/>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Seis detectores para cada banda espectral proporcionaron seis líneas de exploración en cada exploración activa</w:t>
      </w:r>
    </w:p>
    <w:p w:rsidR="0069497E" w:rsidRDefault="0069497E" w:rsidP="0069497E">
      <w:pPr>
        <w:pStyle w:val="HTMLconformatoprevio"/>
        <w:shd w:val="clear" w:color="auto" w:fill="F8F9FA"/>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Intervalo de muestreo terrestre (tamaño de píxel): 57 x 79 m</w:t>
      </w:r>
    </w:p>
    <w:p w:rsidR="0069497E" w:rsidRDefault="0069497E" w:rsidP="0069497E">
      <w:pPr>
        <w:pStyle w:val="HTMLconformatoprevio"/>
        <w:shd w:val="clear" w:color="auto" w:fill="F8F9FA"/>
        <w:spacing w:line="540" w:lineRule="atLeast"/>
        <w:rPr>
          <w:rFonts w:ascii="inherit" w:hAnsi="inherit"/>
          <w:color w:val="202124"/>
          <w:sz w:val="42"/>
          <w:szCs w:val="42"/>
        </w:rPr>
      </w:pPr>
      <w:r>
        <w:rPr>
          <w:rStyle w:val="y2iqfc"/>
          <w:rFonts w:ascii="inherit" w:hAnsi="inherit"/>
          <w:color w:val="202124"/>
          <w:sz w:val="42"/>
          <w:szCs w:val="42"/>
          <w:lang w:val="es-ES"/>
        </w:rPr>
        <w:lastRenderedPageBreak/>
        <w:t>Tamaño de la escena: 170 km x 185 km (106 mi x 115 mi)</w:t>
      </w:r>
    </w:p>
    <w:p w:rsidR="00C278AE" w:rsidRDefault="00C278AE"/>
    <w:sectPr w:rsidR="00C278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7E"/>
    <w:rsid w:val="0069497E"/>
    <w:rsid w:val="007B06A6"/>
    <w:rsid w:val="00C2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BA11"/>
  <w15:chartTrackingRefBased/>
  <w15:docId w15:val="{24773EE1-5A03-4F24-8269-F8D328D0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694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69497E"/>
    <w:rPr>
      <w:rFonts w:ascii="Courier New" w:eastAsia="Times New Roman" w:hAnsi="Courier New" w:cs="Courier New"/>
      <w:sz w:val="20"/>
      <w:szCs w:val="20"/>
    </w:rPr>
  </w:style>
  <w:style w:type="character" w:customStyle="1" w:styleId="y2iqfc">
    <w:name w:val="y2iqfc"/>
    <w:basedOn w:val="Fuentedeprrafopredeter"/>
    <w:rsid w:val="00694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57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2022-02-27T20:34:00Z</dcterms:created>
  <dcterms:modified xsi:type="dcterms:W3CDTF">2022-02-27T20:35:00Z</dcterms:modified>
</cp:coreProperties>
</file>