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5D" w:rsidRPr="00B15B5D" w:rsidRDefault="00B15B5D" w:rsidP="00B15B5D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B15B5D">
        <w:rPr>
          <w:b/>
          <w:bCs/>
          <w:sz w:val="26"/>
          <w:szCs w:val="26"/>
        </w:rPr>
        <w:t>Robots poliarticulados</w:t>
      </w:r>
    </w:p>
    <w:p w:rsidR="00B15B5D" w:rsidRPr="00B15B5D" w:rsidRDefault="00B15B5D" w:rsidP="00D83ECF">
      <w:pPr>
        <w:jc w:val="both"/>
        <w:rPr>
          <w:sz w:val="24"/>
          <w:szCs w:val="24"/>
        </w:rPr>
      </w:pPr>
      <w:r w:rsidRPr="00B15B5D">
        <w:rPr>
          <w:sz w:val="24"/>
          <w:szCs w:val="24"/>
        </w:rPr>
        <w:t>La gama de los robots poliarticulados permite actualmente, según las cargas a transportar y el espacio en el que el despaletizador tiene que evolucionar, una respuesta personalizada a cada necesidad.</w:t>
      </w:r>
    </w:p>
    <w:p w:rsidR="00B15B5D" w:rsidRPr="00B15B5D" w:rsidRDefault="00B15B5D" w:rsidP="00D83ECF">
      <w:pPr>
        <w:jc w:val="both"/>
        <w:rPr>
          <w:sz w:val="24"/>
          <w:szCs w:val="24"/>
        </w:rPr>
      </w:pPr>
      <w:r w:rsidRPr="00B15B5D">
        <w:rPr>
          <w:sz w:val="24"/>
          <w:szCs w:val="24"/>
        </w:rPr>
        <w:drawing>
          <wp:inline distT="0" distB="0" distL="0" distR="0">
            <wp:extent cx="1905000" cy="1428750"/>
            <wp:effectExtent l="0" t="0" r="0" b="0"/>
            <wp:docPr id="3" name="Imagen 3" descr="despaletizadores-robots-poliarticulados-1-20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paletizadores-robots-poliarticulados-1-200x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B5D">
        <w:rPr>
          <w:sz w:val="24"/>
          <w:szCs w:val="24"/>
        </w:rPr>
        <w:t>                                           </w:t>
      </w:r>
      <w:r w:rsidRPr="00B15B5D">
        <w:rPr>
          <w:sz w:val="24"/>
          <w:szCs w:val="24"/>
        </w:rPr>
        <w:drawing>
          <wp:inline distT="0" distB="0" distL="0" distR="0">
            <wp:extent cx="1905000" cy="1428750"/>
            <wp:effectExtent l="0" t="0" r="0" b="0"/>
            <wp:docPr id="2" name="Imagen 2" descr="despaletizador-por-prension-de-capas-2-20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paletizador-por-prension-de-capas-2-200x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B5D">
        <w:rPr>
          <w:sz w:val="24"/>
          <w:szCs w:val="24"/>
        </w:rPr>
        <w:t>  </w:t>
      </w:r>
      <w:r w:rsidRPr="00B15B5D">
        <w:rPr>
          <w:sz w:val="24"/>
          <w:szCs w:val="24"/>
        </w:rPr>
        <w:br/>
      </w:r>
      <w:r w:rsidRPr="00B15B5D">
        <w:rPr>
          <w:sz w:val="24"/>
          <w:szCs w:val="24"/>
        </w:rPr>
        <w:br/>
        <w:t>Este despaletizador puede estar equipado con herramientas de toma de capas completas o parciales. Su precisión, velocidad y flexibilidad, lo convierten en un despaletizador cuya calidad está sobradamente demostrada.</w:t>
      </w:r>
      <w:r w:rsidRPr="00B15B5D">
        <w:rPr>
          <w:sz w:val="24"/>
          <w:szCs w:val="24"/>
        </w:rPr>
        <w:br/>
        <w:t>Además, según las aplicaciones, puede alimentar varias líneas de producción simultáneamente con productos diferentes. En este caso, la herramienta se adapta al producto durante la transferencia de una línea a otra.</w:t>
      </w:r>
    </w:p>
    <w:p w:rsidR="00F526ED" w:rsidRPr="00B15B5D" w:rsidRDefault="00F526ED">
      <w:pPr>
        <w:rPr>
          <w:sz w:val="24"/>
          <w:szCs w:val="24"/>
        </w:rPr>
      </w:pPr>
    </w:p>
    <w:sectPr w:rsidR="00F526ED" w:rsidRPr="00B15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C2"/>
    <w:rsid w:val="00AA19C2"/>
    <w:rsid w:val="00B15B5D"/>
    <w:rsid w:val="00D83ECF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B354-A88F-4D2F-9031-121FB855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martinez</dc:creator>
  <cp:keywords/>
  <dc:description/>
  <cp:lastModifiedBy>joy martinez</cp:lastModifiedBy>
  <cp:revision>3</cp:revision>
  <dcterms:created xsi:type="dcterms:W3CDTF">2015-05-27T02:46:00Z</dcterms:created>
  <dcterms:modified xsi:type="dcterms:W3CDTF">2015-05-27T02:48:00Z</dcterms:modified>
</cp:coreProperties>
</file>