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7F" w:rsidRPr="00E0097F" w:rsidRDefault="00E0097F" w:rsidP="00E0097F">
      <w:pPr>
        <w:rPr>
          <w:b/>
          <w:sz w:val="28"/>
          <w:szCs w:val="28"/>
        </w:rPr>
      </w:pPr>
      <w:r w:rsidRPr="00E0097F">
        <w:rPr>
          <w:b/>
          <w:sz w:val="28"/>
          <w:szCs w:val="28"/>
        </w:rPr>
        <w:t>Основная цель данного этапа оценки — выявить основные виды рисков, влияющих на финансово-хозяйственную деятельность. Преимущество такого подхода заключается в том, что уже на начальном этапе анализа руководитель предприятия может наглядно оценить степень рискованности по количественному составу рисков и уже на этом этапе отказаться от претворения в жизнь определенного решения.</w:t>
      </w:r>
    </w:p>
    <w:p w:rsidR="005D57CD" w:rsidRPr="00E0097F" w:rsidRDefault="00E0097F" w:rsidP="00E0097F">
      <w:pPr>
        <w:rPr>
          <w:b/>
          <w:sz w:val="28"/>
          <w:szCs w:val="28"/>
        </w:rPr>
      </w:pPr>
      <w:r w:rsidRPr="00E0097F">
        <w:rPr>
          <w:b/>
          <w:sz w:val="28"/>
          <w:szCs w:val="28"/>
        </w:rPr>
        <w:t>Итоговые результаты качественного анализа риска, в свою очередь, служат исходной информацией для проведения количественного анализа, то есть оцениваются только те риски, которые присутствуют при осуществлении конкретной операции алгоритма принятия решения</w:t>
      </w:r>
      <w:bookmarkStart w:id="0" w:name="_GoBack"/>
      <w:bookmarkEnd w:id="0"/>
    </w:p>
    <w:sectPr w:rsidR="005D57CD" w:rsidRPr="00E0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F"/>
    <w:rsid w:val="005D57CD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C64E-4992-4B97-9914-591AF0F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1</cp:revision>
  <dcterms:created xsi:type="dcterms:W3CDTF">2015-04-23T16:58:00Z</dcterms:created>
  <dcterms:modified xsi:type="dcterms:W3CDTF">2015-04-23T16:59:00Z</dcterms:modified>
</cp:coreProperties>
</file>