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C2C" w:rsidRPr="000915A7" w:rsidRDefault="000915A7" w:rsidP="00EA5BD0">
      <w:pPr>
        <w:autoSpaceDE w:val="0"/>
        <w:autoSpaceDN w:val="0"/>
        <w:adjustRightInd w:val="0"/>
        <w:spacing w:after="0" w:line="240" w:lineRule="auto"/>
        <w:rPr>
          <w:rFonts w:asciiTheme="majorHAnsi" w:hAnsiTheme="majorHAnsi" w:cstheme="majorHAnsi"/>
          <w:b/>
          <w:i/>
          <w:sz w:val="24"/>
          <w:szCs w:val="24"/>
        </w:rPr>
      </w:pPr>
      <w:r>
        <w:rPr>
          <w:rFonts w:asciiTheme="majorHAnsi" w:hAnsiTheme="majorHAnsi" w:cstheme="majorHAnsi"/>
          <w:b/>
          <w:i/>
          <w:sz w:val="24"/>
          <w:szCs w:val="24"/>
        </w:rPr>
        <w:t>“</w:t>
      </w:r>
      <w:bookmarkStart w:id="0" w:name="_GoBack"/>
      <w:bookmarkEnd w:id="0"/>
      <w:r w:rsidR="00EA5BD0" w:rsidRPr="000915A7">
        <w:rPr>
          <w:rFonts w:asciiTheme="majorHAnsi" w:hAnsiTheme="majorHAnsi" w:cstheme="majorHAnsi"/>
          <w:b/>
          <w:i/>
          <w:sz w:val="24"/>
          <w:szCs w:val="24"/>
        </w:rPr>
        <w:t xml:space="preserve">Una </w:t>
      </w:r>
      <w:r w:rsidR="00EA5BD0" w:rsidRPr="000915A7">
        <w:rPr>
          <w:rFonts w:asciiTheme="majorHAnsi" w:hAnsiTheme="majorHAnsi" w:cstheme="majorHAnsi"/>
          <w:b/>
          <w:i/>
          <w:iCs/>
          <w:sz w:val="24"/>
          <w:szCs w:val="24"/>
        </w:rPr>
        <w:t xml:space="preserve">base de datos </w:t>
      </w:r>
      <w:r w:rsidR="00EA5BD0" w:rsidRPr="000915A7">
        <w:rPr>
          <w:rFonts w:asciiTheme="majorHAnsi" w:hAnsiTheme="majorHAnsi" w:cstheme="majorHAnsi"/>
          <w:b/>
          <w:i/>
          <w:sz w:val="24"/>
          <w:szCs w:val="24"/>
        </w:rPr>
        <w:t xml:space="preserve">es un conjunto de elementos de datos interrelacionados, administrados como unidad. Esta definición es deliberadamente amplia porque existe mucha variación entre los diferentes vendedores de software que ofrecen sistemas de bases de datos. Por ejemplo, Microsoft Access pone toda la base de datos en un solo archivo, de modo que una base de datos de Access puede definirse como el archivo que contiene los elementos de datos. Oracle </w:t>
      </w:r>
      <w:proofErr w:type="spellStart"/>
      <w:r w:rsidR="00EA5BD0" w:rsidRPr="000915A7">
        <w:rPr>
          <w:rFonts w:asciiTheme="majorHAnsi" w:hAnsiTheme="majorHAnsi" w:cstheme="majorHAnsi"/>
          <w:b/>
          <w:i/>
          <w:sz w:val="24"/>
          <w:szCs w:val="24"/>
        </w:rPr>
        <w:t>Corporation</w:t>
      </w:r>
      <w:proofErr w:type="spellEnd"/>
      <w:r w:rsidR="00EA5BD0" w:rsidRPr="000915A7">
        <w:rPr>
          <w:rFonts w:asciiTheme="majorHAnsi" w:hAnsiTheme="majorHAnsi" w:cstheme="majorHAnsi"/>
          <w:b/>
          <w:i/>
          <w:sz w:val="24"/>
          <w:szCs w:val="24"/>
        </w:rPr>
        <w:t xml:space="preserve"> define su base de datos como un conjunto de archivos físicos administrados por una instancia de su producto de software de base de datos.</w:t>
      </w:r>
      <w:r>
        <w:rPr>
          <w:rFonts w:asciiTheme="majorHAnsi" w:hAnsiTheme="majorHAnsi" w:cstheme="majorHAnsi"/>
          <w:b/>
          <w:i/>
          <w:sz w:val="24"/>
          <w:szCs w:val="24"/>
        </w:rPr>
        <w:t>”</w:t>
      </w:r>
      <w:r w:rsidR="00EA5BD0" w:rsidRPr="000915A7">
        <w:rPr>
          <w:rFonts w:asciiTheme="majorHAnsi" w:hAnsiTheme="majorHAnsi" w:cstheme="majorHAnsi"/>
          <w:b/>
          <w:i/>
          <w:sz w:val="24"/>
          <w:szCs w:val="24"/>
        </w:rPr>
        <w:t xml:space="preserve"> </w:t>
      </w:r>
      <w:sdt>
        <w:sdtPr>
          <w:rPr>
            <w:rFonts w:asciiTheme="majorHAnsi" w:hAnsiTheme="majorHAnsi" w:cstheme="majorHAnsi"/>
            <w:b/>
            <w:i/>
            <w:sz w:val="24"/>
            <w:szCs w:val="24"/>
          </w:rPr>
          <w:id w:val="1322396416"/>
          <w:citation/>
        </w:sdtPr>
        <w:sdtEndPr/>
        <w:sdtContent>
          <w:r w:rsidR="00EA5BD0" w:rsidRPr="000915A7">
            <w:rPr>
              <w:rFonts w:asciiTheme="majorHAnsi" w:hAnsiTheme="majorHAnsi" w:cstheme="majorHAnsi"/>
              <w:b/>
              <w:i/>
              <w:sz w:val="24"/>
              <w:szCs w:val="24"/>
            </w:rPr>
            <w:fldChar w:fldCharType="begin"/>
          </w:r>
          <w:r w:rsidR="00EA5BD0" w:rsidRPr="000915A7">
            <w:rPr>
              <w:rFonts w:asciiTheme="majorHAnsi" w:hAnsiTheme="majorHAnsi" w:cstheme="majorHAnsi"/>
              <w:b/>
              <w:i/>
              <w:sz w:val="24"/>
              <w:szCs w:val="24"/>
            </w:rPr>
            <w:instrText xml:space="preserve">CITATION And09 \p 4 \l 2058 </w:instrText>
          </w:r>
          <w:r w:rsidR="00EA5BD0" w:rsidRPr="000915A7">
            <w:rPr>
              <w:rFonts w:asciiTheme="majorHAnsi" w:hAnsiTheme="majorHAnsi" w:cstheme="majorHAnsi"/>
              <w:b/>
              <w:i/>
              <w:sz w:val="24"/>
              <w:szCs w:val="24"/>
            </w:rPr>
            <w:fldChar w:fldCharType="separate"/>
          </w:r>
          <w:r w:rsidR="00EA5BD0" w:rsidRPr="000915A7">
            <w:rPr>
              <w:rFonts w:asciiTheme="majorHAnsi" w:hAnsiTheme="majorHAnsi" w:cstheme="majorHAnsi"/>
              <w:b/>
              <w:i/>
              <w:noProof/>
              <w:sz w:val="24"/>
              <w:szCs w:val="24"/>
            </w:rPr>
            <w:t>(Oppel, 2009, pág. 4)</w:t>
          </w:r>
          <w:r w:rsidR="00EA5BD0" w:rsidRPr="000915A7">
            <w:rPr>
              <w:rFonts w:asciiTheme="majorHAnsi" w:hAnsiTheme="majorHAnsi" w:cstheme="majorHAnsi"/>
              <w:b/>
              <w:i/>
              <w:sz w:val="24"/>
              <w:szCs w:val="24"/>
            </w:rPr>
            <w:fldChar w:fldCharType="end"/>
          </w:r>
        </w:sdtContent>
      </w:sdt>
      <w:r w:rsidR="00EA5BD0" w:rsidRPr="000915A7">
        <w:rPr>
          <w:rFonts w:asciiTheme="majorHAnsi" w:hAnsiTheme="majorHAnsi" w:cstheme="majorHAnsi"/>
          <w:b/>
          <w:i/>
          <w:sz w:val="24"/>
          <w:szCs w:val="24"/>
        </w:rPr>
        <w:t>.</w:t>
      </w:r>
    </w:p>
    <w:sectPr w:rsidR="00CB7C2C" w:rsidRPr="000915A7" w:rsidSect="00870E8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6E"/>
    <w:rsid w:val="000127DC"/>
    <w:rsid w:val="000915A7"/>
    <w:rsid w:val="001F276E"/>
    <w:rsid w:val="006F6001"/>
    <w:rsid w:val="0079271A"/>
    <w:rsid w:val="00870E82"/>
    <w:rsid w:val="00872F3D"/>
    <w:rsid w:val="00944F19"/>
    <w:rsid w:val="00BE1AED"/>
    <w:rsid w:val="00CB7C2C"/>
    <w:rsid w:val="00EA5BD0"/>
    <w:rsid w:val="00F03488"/>
    <w:rsid w:val="00F541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455E"/>
  <w15:chartTrackingRefBased/>
  <w15:docId w15:val="{10A5EC9E-85A8-43BB-8DA2-19B84011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00141">
      <w:bodyDiv w:val="1"/>
      <w:marLeft w:val="0"/>
      <w:marRight w:val="0"/>
      <w:marTop w:val="0"/>
      <w:marBottom w:val="0"/>
      <w:divBdr>
        <w:top w:val="none" w:sz="0" w:space="0" w:color="auto"/>
        <w:left w:val="none" w:sz="0" w:space="0" w:color="auto"/>
        <w:bottom w:val="none" w:sz="0" w:space="0" w:color="auto"/>
        <w:right w:val="none" w:sz="0" w:space="0" w:color="auto"/>
      </w:divBdr>
    </w:div>
    <w:div w:id="486360463">
      <w:bodyDiv w:val="1"/>
      <w:marLeft w:val="0"/>
      <w:marRight w:val="0"/>
      <w:marTop w:val="0"/>
      <w:marBottom w:val="0"/>
      <w:divBdr>
        <w:top w:val="none" w:sz="0" w:space="0" w:color="auto"/>
        <w:left w:val="none" w:sz="0" w:space="0" w:color="auto"/>
        <w:bottom w:val="none" w:sz="0" w:space="0" w:color="auto"/>
        <w:right w:val="none" w:sz="0" w:space="0" w:color="auto"/>
      </w:divBdr>
    </w:div>
    <w:div w:id="646276765">
      <w:bodyDiv w:val="1"/>
      <w:marLeft w:val="0"/>
      <w:marRight w:val="0"/>
      <w:marTop w:val="0"/>
      <w:marBottom w:val="0"/>
      <w:divBdr>
        <w:top w:val="none" w:sz="0" w:space="0" w:color="auto"/>
        <w:left w:val="none" w:sz="0" w:space="0" w:color="auto"/>
        <w:bottom w:val="none" w:sz="0" w:space="0" w:color="auto"/>
        <w:right w:val="none" w:sz="0" w:space="0" w:color="auto"/>
      </w:divBdr>
    </w:div>
    <w:div w:id="729575693">
      <w:bodyDiv w:val="1"/>
      <w:marLeft w:val="0"/>
      <w:marRight w:val="0"/>
      <w:marTop w:val="0"/>
      <w:marBottom w:val="0"/>
      <w:divBdr>
        <w:top w:val="none" w:sz="0" w:space="0" w:color="auto"/>
        <w:left w:val="none" w:sz="0" w:space="0" w:color="auto"/>
        <w:bottom w:val="none" w:sz="0" w:space="0" w:color="auto"/>
        <w:right w:val="none" w:sz="0" w:space="0" w:color="auto"/>
      </w:divBdr>
    </w:div>
    <w:div w:id="795373111">
      <w:bodyDiv w:val="1"/>
      <w:marLeft w:val="0"/>
      <w:marRight w:val="0"/>
      <w:marTop w:val="0"/>
      <w:marBottom w:val="0"/>
      <w:divBdr>
        <w:top w:val="none" w:sz="0" w:space="0" w:color="auto"/>
        <w:left w:val="none" w:sz="0" w:space="0" w:color="auto"/>
        <w:bottom w:val="none" w:sz="0" w:space="0" w:color="auto"/>
        <w:right w:val="none" w:sz="0" w:space="0" w:color="auto"/>
      </w:divBdr>
    </w:div>
    <w:div w:id="888764100">
      <w:bodyDiv w:val="1"/>
      <w:marLeft w:val="0"/>
      <w:marRight w:val="0"/>
      <w:marTop w:val="0"/>
      <w:marBottom w:val="0"/>
      <w:divBdr>
        <w:top w:val="none" w:sz="0" w:space="0" w:color="auto"/>
        <w:left w:val="none" w:sz="0" w:space="0" w:color="auto"/>
        <w:bottom w:val="none" w:sz="0" w:space="0" w:color="auto"/>
        <w:right w:val="none" w:sz="0" w:space="0" w:color="auto"/>
      </w:divBdr>
    </w:div>
    <w:div w:id="1159808673">
      <w:bodyDiv w:val="1"/>
      <w:marLeft w:val="0"/>
      <w:marRight w:val="0"/>
      <w:marTop w:val="0"/>
      <w:marBottom w:val="0"/>
      <w:divBdr>
        <w:top w:val="none" w:sz="0" w:space="0" w:color="auto"/>
        <w:left w:val="none" w:sz="0" w:space="0" w:color="auto"/>
        <w:bottom w:val="none" w:sz="0" w:space="0" w:color="auto"/>
        <w:right w:val="none" w:sz="0" w:space="0" w:color="auto"/>
      </w:divBdr>
    </w:div>
    <w:div w:id="1223130870">
      <w:bodyDiv w:val="1"/>
      <w:marLeft w:val="0"/>
      <w:marRight w:val="0"/>
      <w:marTop w:val="0"/>
      <w:marBottom w:val="0"/>
      <w:divBdr>
        <w:top w:val="none" w:sz="0" w:space="0" w:color="auto"/>
        <w:left w:val="none" w:sz="0" w:space="0" w:color="auto"/>
        <w:bottom w:val="none" w:sz="0" w:space="0" w:color="auto"/>
        <w:right w:val="none" w:sz="0" w:space="0" w:color="auto"/>
      </w:divBdr>
    </w:div>
    <w:div w:id="1233589449">
      <w:bodyDiv w:val="1"/>
      <w:marLeft w:val="0"/>
      <w:marRight w:val="0"/>
      <w:marTop w:val="0"/>
      <w:marBottom w:val="0"/>
      <w:divBdr>
        <w:top w:val="none" w:sz="0" w:space="0" w:color="auto"/>
        <w:left w:val="none" w:sz="0" w:space="0" w:color="auto"/>
        <w:bottom w:val="none" w:sz="0" w:space="0" w:color="auto"/>
        <w:right w:val="none" w:sz="0" w:space="0" w:color="auto"/>
      </w:divBdr>
    </w:div>
    <w:div w:id="1650867390">
      <w:bodyDiv w:val="1"/>
      <w:marLeft w:val="0"/>
      <w:marRight w:val="0"/>
      <w:marTop w:val="0"/>
      <w:marBottom w:val="0"/>
      <w:divBdr>
        <w:top w:val="none" w:sz="0" w:space="0" w:color="auto"/>
        <w:left w:val="none" w:sz="0" w:space="0" w:color="auto"/>
        <w:bottom w:val="none" w:sz="0" w:space="0" w:color="auto"/>
        <w:right w:val="none" w:sz="0" w:space="0" w:color="auto"/>
      </w:divBdr>
    </w:div>
    <w:div w:id="1700549620">
      <w:bodyDiv w:val="1"/>
      <w:marLeft w:val="0"/>
      <w:marRight w:val="0"/>
      <w:marTop w:val="0"/>
      <w:marBottom w:val="0"/>
      <w:divBdr>
        <w:top w:val="none" w:sz="0" w:space="0" w:color="auto"/>
        <w:left w:val="none" w:sz="0" w:space="0" w:color="auto"/>
        <w:bottom w:val="none" w:sz="0" w:space="0" w:color="auto"/>
        <w:right w:val="none" w:sz="0" w:space="0" w:color="auto"/>
      </w:divBdr>
    </w:div>
    <w:div w:id="1723282825">
      <w:bodyDiv w:val="1"/>
      <w:marLeft w:val="0"/>
      <w:marRight w:val="0"/>
      <w:marTop w:val="0"/>
      <w:marBottom w:val="0"/>
      <w:divBdr>
        <w:top w:val="none" w:sz="0" w:space="0" w:color="auto"/>
        <w:left w:val="none" w:sz="0" w:space="0" w:color="auto"/>
        <w:bottom w:val="none" w:sz="0" w:space="0" w:color="auto"/>
        <w:right w:val="none" w:sz="0" w:space="0" w:color="auto"/>
      </w:divBdr>
    </w:div>
    <w:div w:id="2010017173">
      <w:bodyDiv w:val="1"/>
      <w:marLeft w:val="0"/>
      <w:marRight w:val="0"/>
      <w:marTop w:val="0"/>
      <w:marBottom w:val="0"/>
      <w:divBdr>
        <w:top w:val="none" w:sz="0" w:space="0" w:color="auto"/>
        <w:left w:val="none" w:sz="0" w:space="0" w:color="auto"/>
        <w:bottom w:val="none" w:sz="0" w:space="0" w:color="auto"/>
        <w:right w:val="none" w:sz="0" w:space="0" w:color="auto"/>
      </w:divBdr>
    </w:div>
    <w:div w:id="2045054080">
      <w:bodyDiv w:val="1"/>
      <w:marLeft w:val="0"/>
      <w:marRight w:val="0"/>
      <w:marTop w:val="0"/>
      <w:marBottom w:val="0"/>
      <w:divBdr>
        <w:top w:val="none" w:sz="0" w:space="0" w:color="auto"/>
        <w:left w:val="none" w:sz="0" w:space="0" w:color="auto"/>
        <w:bottom w:val="none" w:sz="0" w:space="0" w:color="auto"/>
        <w:right w:val="none" w:sz="0" w:space="0" w:color="auto"/>
      </w:divBdr>
    </w:div>
    <w:div w:id="20866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{D5436263-95D2-47DF-BBF0-42E6F08F006E}</b:Guid>
    <b:Author>
      <b:Author>
        <b:NameList>
          <b:Person>
            <b:Last>Abraham</b:Last>
            <b:First>Silberschatz</b:First>
          </b:Person>
        </b:NameList>
      </b:Author>
    </b:Author>
    <b:Title>Fundamentos de Bases de Datos  Abraham Silberschatz 4ta Edicion</b:Title>
    <b:Year>2002</b:Year>
    <b:City>Madrid</b:City>
    <b:Publisher>McGRAW-HILL/INTERAMERICANA DE ESPAÑA, S. A. U.</b:Publisher>
    <b:RefOrder>2</b:RefOrder>
  </b:Source>
  <b:Source>
    <b:Tag>And09</b:Tag>
    <b:SourceType>Book</b:SourceType>
    <b:Guid>{67C9D72A-D6CE-4F6D-AEE6-6CD3B110ADF9}</b:Guid>
    <b:Title>Fundamentos de Base de Datos</b:Title>
    <b:Year>2009</b:Year>
    <b:Author>
      <b:Author>
        <b:NameList>
          <b:Person>
            <b:Last>Oppel</b:Last>
            <b:First>Andrew</b:First>
            <b:Middle>J. (Andy)</b:Middle>
          </b:Person>
        </b:NameList>
      </b:Author>
    </b:Author>
    <b:City>México, D.F.</b:City>
    <b:Publisher>McGRAW-HILL/INTERAMERICANA EDITORES, S.A. DE C.V.</b:Publisher>
    <b:RefOrder>1</b:RefOrder>
  </b:Source>
</b:Sources>
</file>

<file path=customXml/itemProps1.xml><?xml version="1.0" encoding="utf-8"?>
<ds:datastoreItem xmlns:ds="http://schemas.openxmlformats.org/officeDocument/2006/customXml" ds:itemID="{4626A1DD-4A82-4690-A251-3091C447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101</Words>
  <Characters>557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10</cp:revision>
  <dcterms:created xsi:type="dcterms:W3CDTF">2019-02-04T14:54:00Z</dcterms:created>
  <dcterms:modified xsi:type="dcterms:W3CDTF">2019-02-08T05:28:00Z</dcterms:modified>
</cp:coreProperties>
</file>