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0" w:rsidRDefault="00424E60" w:rsidP="00424E60">
      <w:pPr>
        <w:jc w:val="center"/>
        <w:rPr>
          <w:rFonts w:ascii="Arial" w:hAnsi="Arial" w:cs="Arial"/>
          <w:color w:val="262626" w:themeColor="text1" w:themeTint="D9"/>
          <w:sz w:val="40"/>
          <w:szCs w:val="40"/>
        </w:rPr>
      </w:pPr>
      <w:r w:rsidRPr="00424E60">
        <w:rPr>
          <w:rFonts w:ascii="Arial" w:hAnsi="Arial" w:cs="Arial"/>
          <w:color w:val="262626" w:themeColor="text1" w:themeTint="D9"/>
          <w:sz w:val="40"/>
          <w:szCs w:val="40"/>
          <w:highlight w:val="lightGray"/>
        </w:rPr>
        <w:t>¿Qué es una nube privada?</w:t>
      </w:r>
    </w:p>
    <w:p w:rsidR="00424E60" w:rsidRDefault="00424E60" w:rsidP="00424E60">
      <w:pPr>
        <w:pStyle w:val="Normal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323237"/>
        </w:rPr>
      </w:pPr>
    </w:p>
    <w:p w:rsidR="00424E60" w:rsidRDefault="00424E60" w:rsidP="00424E60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Segoe UI" w:hAnsi="Segoe UI" w:cs="Segoe UI"/>
          <w:color w:val="323237"/>
        </w:rPr>
      </w:pPr>
      <w:r>
        <w:rPr>
          <w:rFonts w:ascii="Segoe UI" w:hAnsi="Segoe UI" w:cs="Segoe UI"/>
          <w:color w:val="323237"/>
        </w:rPr>
        <w:t>La nube privada se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 </w:t>
      </w:r>
      <w:hyperlink r:id="rId4" w:history="1">
        <w:r>
          <w:rPr>
            <w:rStyle w:val="Hipervnculo"/>
            <w:rFonts w:ascii="Segoe UI" w:hAnsi="Segoe UI" w:cs="Segoe UI"/>
            <w:color w:val="0078D4"/>
            <w:u w:val="none"/>
          </w:rPr>
          <w:t>nube pública</w:t>
        </w:r>
      </w:hyperlink>
      <w:r>
        <w:rPr>
          <w:rFonts w:ascii="Segoe UI" w:hAnsi="Segoe UI" w:cs="Segoe UI"/>
          <w:color w:val="323237"/>
        </w:rPr>
        <w:t> 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 Un inconveniente es que el departamento de TI de la compañía es responsable de la administración de la nube privada y el costo que conlleva. Por tanto, las nubes privadas requieren el mismo gasto de personal, administración y mantenimiento que los centros de datos tradicionales en propiedad.</w:t>
      </w:r>
    </w:p>
    <w:p w:rsidR="00424E60" w:rsidRDefault="00424E60" w:rsidP="00424E60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 UI" w:hAnsi="Segoe UI" w:cs="Segoe UI"/>
          <w:color w:val="323237"/>
        </w:rPr>
      </w:pPr>
      <w:r>
        <w:rPr>
          <w:rFonts w:ascii="Segoe UI" w:hAnsi="Segoe UI" w:cs="Segoe UI"/>
          <w:color w:val="323237"/>
        </w:rPr>
        <w:t>En una nube privada, se pueden ofrecer dos modelos de servicios en la nube. El primero es </w:t>
      </w:r>
      <w:hyperlink r:id="rId5" w:history="1">
        <w:r>
          <w:rPr>
            <w:rStyle w:val="Hipervnculo"/>
            <w:rFonts w:ascii="Segoe UI" w:hAnsi="Segoe UI" w:cs="Segoe UI"/>
            <w:color w:val="0078D4"/>
            <w:u w:val="none"/>
          </w:rPr>
          <w:t>infraestructura como servicio (</w:t>
        </w:r>
        <w:proofErr w:type="spellStart"/>
        <w:r>
          <w:rPr>
            <w:rStyle w:val="Hipervnculo"/>
            <w:rFonts w:ascii="Segoe UI" w:hAnsi="Segoe UI" w:cs="Segoe UI"/>
            <w:color w:val="0078D4"/>
            <w:u w:val="none"/>
          </w:rPr>
          <w:t>IaaS</w:t>
        </w:r>
        <w:proofErr w:type="spellEnd"/>
        <w:r>
          <w:rPr>
            <w:rStyle w:val="Hipervnculo"/>
            <w:rFonts w:ascii="Segoe UI" w:hAnsi="Segoe UI" w:cs="Segoe UI"/>
            <w:color w:val="0078D4"/>
            <w:u w:val="none"/>
          </w:rPr>
          <w:t>)</w:t>
        </w:r>
      </w:hyperlink>
      <w:r>
        <w:rPr>
          <w:rFonts w:ascii="Segoe UI" w:hAnsi="Segoe UI" w:cs="Segoe UI"/>
          <w:color w:val="323237"/>
        </w:rPr>
        <w:t>, que permite a una compañía utilizar recursos de infraestructura, como proceso, red y almacenamiento, como servicio. El segundo es </w:t>
      </w:r>
      <w:hyperlink r:id="rId6" w:history="1">
        <w:r>
          <w:rPr>
            <w:rStyle w:val="Hipervnculo"/>
            <w:rFonts w:ascii="Segoe UI" w:hAnsi="Segoe UI" w:cs="Segoe UI"/>
            <w:color w:val="0078D4"/>
            <w:u w:val="none"/>
          </w:rPr>
          <w:t>plataforma como servicio (</w:t>
        </w:r>
        <w:proofErr w:type="spellStart"/>
        <w:r>
          <w:rPr>
            <w:rStyle w:val="Hipervnculo"/>
            <w:rFonts w:ascii="Segoe UI" w:hAnsi="Segoe UI" w:cs="Segoe UI"/>
            <w:color w:val="0078D4"/>
            <w:u w:val="none"/>
          </w:rPr>
          <w:t>PaaS</w:t>
        </w:r>
        <w:proofErr w:type="spellEnd"/>
        <w:r>
          <w:rPr>
            <w:rStyle w:val="Hipervnculo"/>
            <w:rFonts w:ascii="Segoe UI" w:hAnsi="Segoe UI" w:cs="Segoe UI"/>
            <w:color w:val="0078D4"/>
            <w:u w:val="none"/>
          </w:rPr>
          <w:t>)</w:t>
        </w:r>
      </w:hyperlink>
      <w:r>
        <w:rPr>
          <w:rFonts w:ascii="Segoe UI" w:hAnsi="Segoe UI" w:cs="Segoe UI"/>
          <w:color w:val="323237"/>
        </w:rPr>
        <w:t>, que permite a una compañía ofrecer todo, desde sencillas aplicaciones basadas en la nube hasta sofisticadas aplicaciones empresariales. Las nubes privadas se pueden combinar también con nubes públicas para crear una </w:t>
      </w:r>
      <w:hyperlink r:id="rId7" w:history="1">
        <w:r>
          <w:rPr>
            <w:rStyle w:val="Hipervnculo"/>
            <w:rFonts w:ascii="Segoe UI" w:hAnsi="Segoe UI" w:cs="Segoe UI"/>
            <w:color w:val="0078D4"/>
            <w:u w:val="none"/>
          </w:rPr>
          <w:t>nube híbrida</w:t>
        </w:r>
      </w:hyperlink>
      <w:r>
        <w:rPr>
          <w:rFonts w:ascii="Segoe UI" w:hAnsi="Segoe UI" w:cs="Segoe UI"/>
          <w:color w:val="323237"/>
        </w:rPr>
        <w:t>, que permite a las empresas aprovechar la </w:t>
      </w:r>
      <w:hyperlink r:id="rId8" w:history="1">
        <w:r>
          <w:rPr>
            <w:rStyle w:val="Hipervnculo"/>
            <w:rFonts w:ascii="Segoe UI" w:hAnsi="Segoe UI" w:cs="Segoe UI"/>
            <w:color w:val="0078D4"/>
            <w:u w:val="none"/>
          </w:rPr>
          <w:t>extensión a la nube</w:t>
        </w:r>
      </w:hyperlink>
      <w:r>
        <w:rPr>
          <w:rFonts w:ascii="Segoe UI" w:hAnsi="Segoe UI" w:cs="Segoe UI"/>
          <w:color w:val="323237"/>
        </w:rPr>
        <w:t> para liberar más espacio y escalar servicios informáticos en la nube pública cuando aumenta la demanda de recursos informáticos.</w:t>
      </w:r>
    </w:p>
    <w:p w:rsidR="00424E60" w:rsidRPr="00424E60" w:rsidRDefault="00424E60" w:rsidP="00424E60">
      <w:pPr>
        <w:jc w:val="center"/>
        <w:rPr>
          <w:rFonts w:ascii="Arial" w:hAnsi="Arial" w:cs="Arial"/>
          <w:color w:val="262626" w:themeColor="text1" w:themeTint="D9"/>
          <w:sz w:val="40"/>
          <w:szCs w:val="40"/>
        </w:rPr>
      </w:pPr>
      <w:bookmarkStart w:id="0" w:name="_GoBack"/>
      <w:bookmarkEnd w:id="0"/>
    </w:p>
    <w:sectPr w:rsidR="00424E60" w:rsidRPr="00424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60"/>
    <w:rsid w:val="00424E60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1878F-2D89-43BC-A827-1FE185A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2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.microsoft.com/es-es/overview/what-is-cloud-burs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ure.microsoft.com/es-es/overview/what-is-hybrid-cloud-compu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ure.microsoft.com/es-es/overview/what-is-paas/" TargetMode="External"/><Relationship Id="rId5" Type="http://schemas.openxmlformats.org/officeDocument/2006/relationships/hyperlink" Target="https://azure.microsoft.com/es-es/overview/what-is-iaa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zure.microsoft.com/es-es/overview/what-is-a-public-clou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2019-02-21T14:15:00Z</dcterms:created>
  <dcterms:modified xsi:type="dcterms:W3CDTF">2019-02-21T14:20:00Z</dcterms:modified>
</cp:coreProperties>
</file>