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bookmarkStart w:id="0" w:name="_GoBack"/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6.7.7 </w:t>
      </w:r>
      <w:bookmarkEnd w:id="0"/>
      <w:r>
        <w:rPr>
          <w:rFonts w:ascii="Arial,Bold" w:hAnsi="Arial,Bold" w:cs="Arial,Bold"/>
          <w:b/>
          <w:bCs/>
          <w:sz w:val="20"/>
          <w:szCs w:val="20"/>
          <w:lang w:val="es-EC"/>
        </w:rPr>
        <w:t>Asunto 5 sobre consumidores: protección y privacidad de los datos de los consumidores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6.7.7.1 Descripción del asunto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 la protección y privacidad de los datos del consumidor se pretende salvaguardar el derecho de los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consumidores a la privacidad, limitando el tipo de información reunida y las formas en que esa información se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obtiene, utiliza y se mantiene segura. El incremento del uso de la comunicación electrónica (incluidas las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transacciones financieras) y las pruebas genéticas, así como el crecimiento a gran escala de las bases de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datos, crea inquietudes respecto de cómo se puede proteger la privacidad de los consumidores,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particularmente, en lo que respecta a la información de identificación personal </w:t>
      </w:r>
      <w:r>
        <w:rPr>
          <w:rFonts w:ascii="Arial" w:hAnsi="Arial" w:cs="Arial"/>
          <w:sz w:val="13"/>
          <w:szCs w:val="13"/>
          <w:lang w:val="es-EC"/>
        </w:rPr>
        <w:t>[36] [123] [124] [125]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Las organizaciones pueden ayudar a mantener su credibilidad y la confianza de los consumidores mediante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el uso de sistemas rigurosos para la obtención, uso y protección de los datos de los consumidores.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6.7.7.2 Acciones y expectativas relacionadas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Para evitar que la recopilación y el procesamiento de datos de carácter personal infrinjan la privacidad, una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organización debería: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limitar la recopilación de datos de carácter personal a información que sea esencial para la provisión de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productos y servicios, o bien que sea proporcionada con el consentimiento informado y voluntario del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consumidor;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abstenerse de hacer que el uso de servicios o el derecho a ofertas especiales dependa de la aceptación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del consumidor de un uso no deseado de datos para fines comerciales;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obtener los datos únicamente por medios legales y justos;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especificar el propósito para el que se recopilan los datos de carácter personal, bien con carácter previo,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 en el momento de su recopilación;</w:t>
      </w:r>
      <w:r w:rsidRPr="006A1162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no revelar, ni poner a disposición, ni usar los datos de carácter personal, para propósitos distintos de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aquellos especificados, incluido el </w:t>
      </w:r>
      <w:r>
        <w:rPr>
          <w:rFonts w:ascii="Arial,Italic" w:hAnsi="Arial,Italic" w:cs="Arial,Italic"/>
          <w:i/>
          <w:iCs/>
          <w:sz w:val="20"/>
          <w:szCs w:val="20"/>
          <w:lang w:val="es-EC"/>
        </w:rPr>
        <w:t>marketing</w:t>
      </w:r>
      <w:r>
        <w:rPr>
          <w:rFonts w:ascii="Arial" w:hAnsi="Arial" w:cs="Arial"/>
          <w:sz w:val="20"/>
          <w:szCs w:val="20"/>
          <w:lang w:val="es-EC"/>
        </w:rPr>
        <w:t>, excepto cuando exista consentimiento informado y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voluntario del consumidor, o cuando sea requerido por la ley;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proporcionar a los consumidores el derecho a verificar si la organización dispone de datos sobre ellos y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cuestionar estos datos, según esté estipulado por ley. Si el cuestionamiento tiene éxito, la información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debería ser borrada, rectificada, completada o enmendada, según sea adecuado;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proteger, según sea adecuado, los datos de carácter personal mediante salvaguardas adecuadas de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seguridad;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estar abierta a avances, prácticas y políticas relacionadas con los datos de carácter personal y ofrecer de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forma inmediata las maneras posibles para establecer la existencia, naturaleza y uso principal de la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información personal, y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revelar la identidad y localización habitual de la persona encargada de rendir cuentas sobre la protección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los datos en la organización (llamado a veces controlador de datos) y hacer a esta persona</w:t>
      </w:r>
    </w:p>
    <w:p w:rsidR="006A1162" w:rsidRDefault="006A1162" w:rsidP="006A1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responsable de rendir cuentas del cumplimiento de las medidas antes mencionadas y las leyes</w:t>
      </w:r>
    </w:p>
    <w:p w:rsidR="00B35291" w:rsidRDefault="006A1162" w:rsidP="006A1162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aplicables.</w:t>
      </w:r>
    </w:p>
    <w:p w:rsidR="006A1162" w:rsidRPr="006A1162" w:rsidRDefault="006A1162" w:rsidP="006A1162">
      <w:pPr>
        <w:rPr>
          <w:lang w:val="es-EC"/>
        </w:rPr>
      </w:pPr>
    </w:p>
    <w:sectPr w:rsidR="006A1162" w:rsidRPr="006A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91"/>
    <w:rsid w:val="006A1162"/>
    <w:rsid w:val="006E221B"/>
    <w:rsid w:val="00B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D109F"/>
  <w15:chartTrackingRefBased/>
  <w15:docId w15:val="{FBD01047-7DD5-4F62-9798-E00D314F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2</cp:revision>
  <dcterms:created xsi:type="dcterms:W3CDTF">2020-11-11T00:08:00Z</dcterms:created>
  <dcterms:modified xsi:type="dcterms:W3CDTF">2020-11-11T00:08:00Z</dcterms:modified>
</cp:coreProperties>
</file>