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bookmarkStart w:id="0" w:name="_GoBack"/>
      <w:r>
        <w:rPr>
          <w:rFonts w:ascii="Arial,Bold" w:hAnsi="Arial,Bold" w:cs="Arial,Bold"/>
          <w:b/>
          <w:bCs/>
          <w:sz w:val="20"/>
          <w:szCs w:val="20"/>
          <w:lang w:val="es-EC"/>
        </w:rPr>
        <w:t xml:space="preserve">6.7.7 </w:t>
      </w:r>
      <w:bookmarkEnd w:id="0"/>
      <w:r>
        <w:rPr>
          <w:rFonts w:ascii="Arial,Bold" w:hAnsi="Arial,Bold" w:cs="Arial,Bold"/>
          <w:b/>
          <w:bCs/>
          <w:sz w:val="20"/>
          <w:szCs w:val="20"/>
          <w:lang w:val="es-EC"/>
        </w:rPr>
        <w:t>Asunto 5 sobre consumidores: protección y privacidad de los datos de los consumidores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6.7.7.1 Descripción del asunto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 la protección y privacidad de los datos del consumidor se pretende salvaguardar el derecho de los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consumidores a la privacidad, limitando el tipo de información reunida y las formas en que esa información se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obtiene, utiliza y se mantiene segura. El incremento del uso de la comunicación electrónica (incluidas las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transacciones financieras) y las pruebas genéticas, así como el crecimiento a gran escala de las bases de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datos, crea inquietudes respecto de cómo se puede proteger la privacidad de los consumidores,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particularmente, en lo que respecta a la información de identificación personal </w:t>
      </w:r>
      <w:r>
        <w:rPr>
          <w:rFonts w:ascii="Arial" w:hAnsi="Arial" w:cs="Arial"/>
          <w:sz w:val="13"/>
          <w:szCs w:val="13"/>
          <w:lang w:val="es-EC"/>
        </w:rPr>
        <w:t>[36] [123] [124] [125]</w:t>
      </w:r>
      <w:r>
        <w:rPr>
          <w:rFonts w:ascii="Arial" w:hAnsi="Arial" w:cs="Arial"/>
          <w:sz w:val="20"/>
          <w:szCs w:val="20"/>
          <w:lang w:val="es-EC"/>
        </w:rPr>
        <w:t>.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Las organizaciones pueden ayudar a mantener su credibilidad y la confianza de los consumidores mediante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el uso de sistemas rigurosos para la obtención, uso y protección de los datos de los consumidores.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  <w:lang w:val="es-EC"/>
        </w:rPr>
      </w:pPr>
      <w:r>
        <w:rPr>
          <w:rFonts w:ascii="Arial,Bold" w:hAnsi="Arial,Bold" w:cs="Arial,Bold"/>
          <w:b/>
          <w:bCs/>
          <w:sz w:val="20"/>
          <w:szCs w:val="20"/>
          <w:lang w:val="es-EC"/>
        </w:rPr>
        <w:t>6.7.7.2 Acciones y expectativas relacionadas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Para evitar que la recopilación y el procesamiento de datos de carácter personal infrinjan la privacidad, una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organización debería: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limitar la recopilación de datos de carácter personal a información que sea esencial para la provisión de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los productos y servicios, o bien que sea proporcionada con el consentimiento informado y voluntario del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consumidor;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abstenerse de hacer que el uso de servicios o el derecho a ofertas especiales dependa de la aceptación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del consumidor de un uso no deseado de datos para fines comerciales;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obtener los datos únicamente por medios legales y justos;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especificar el propósito para el que se recopilan los datos de carácter personal, bien con carácter previo,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o en el momento de su recopilación;</w:t>
      </w:r>
      <w:r w:rsidRPr="006A1162">
        <w:rPr>
          <w:rFonts w:ascii="Arial" w:hAnsi="Arial" w:cs="Arial"/>
          <w:sz w:val="20"/>
          <w:szCs w:val="20"/>
          <w:lang w:val="es-EC"/>
        </w:rPr>
        <w:t xml:space="preserve"> </w:t>
      </w:r>
      <w:r>
        <w:rPr>
          <w:rFonts w:ascii="Arial" w:hAnsi="Arial" w:cs="Arial"/>
          <w:sz w:val="20"/>
          <w:szCs w:val="20"/>
          <w:lang w:val="es-EC"/>
        </w:rPr>
        <w:t>no revelar, ni poner a disposición, ni usar los datos de carácter personal, para propósitos distintos de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aquellos especificados, incluido el </w:t>
      </w:r>
      <w:r>
        <w:rPr>
          <w:rFonts w:ascii="Arial,Italic" w:hAnsi="Arial,Italic" w:cs="Arial,Italic"/>
          <w:i/>
          <w:iCs/>
          <w:sz w:val="20"/>
          <w:szCs w:val="20"/>
          <w:lang w:val="es-EC"/>
        </w:rPr>
        <w:t>marketing</w:t>
      </w:r>
      <w:r>
        <w:rPr>
          <w:rFonts w:ascii="Arial" w:hAnsi="Arial" w:cs="Arial"/>
          <w:sz w:val="20"/>
          <w:szCs w:val="20"/>
          <w:lang w:val="es-EC"/>
        </w:rPr>
        <w:t>, excepto cuando exista consentimiento informado y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voluntario del consumidor, o cuando sea requerido por la ley;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proporcionar a los consumidores el derecho a verificar si la organización dispone de datos sobre ellos y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cuestionar estos datos, según esté estipulado por ley. Si el cuestionamiento tiene éxito, la información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debería ser borrada, rectificada, completada o enmendada, según sea adecuado;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proteger, según sea adecuado, los datos de carácter personal mediante salvaguardas adecuadas de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seguridad;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estar abierta a avances, prácticas y políticas relacionadas con los datos de carácter personal y ofrecer de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forma inmediata las maneras posibles para establecer la existencia, naturaleza y uso principal de la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información personal, y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Symbol" w:hAnsi="Symbol" w:cs="Symbol"/>
          <w:sz w:val="20"/>
          <w:szCs w:val="20"/>
          <w:lang w:val="es-EC"/>
        </w:rPr>
        <w:t>⎯</w:t>
      </w:r>
      <w:r>
        <w:rPr>
          <w:rFonts w:ascii="Symbol" w:hAnsi="Symbol" w:cs="Symbol"/>
          <w:sz w:val="20"/>
          <w:szCs w:val="20"/>
          <w:lang w:val="es-EC"/>
        </w:rPr>
        <w:t></w:t>
      </w:r>
      <w:r>
        <w:rPr>
          <w:rFonts w:ascii="Arial" w:hAnsi="Arial" w:cs="Arial"/>
          <w:sz w:val="20"/>
          <w:szCs w:val="20"/>
          <w:lang w:val="es-EC"/>
        </w:rPr>
        <w:t>revelar la identidad y localización habitual de la persona encargada de rendir cuentas sobre la protección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de los datos en la organización (llamado a veces controlador de datos) y hacer a esta persona</w:t>
      </w:r>
    </w:p>
    <w:p w:rsidR="006A1162" w:rsidRDefault="006A1162" w:rsidP="006A11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responsable de rendir cuentas del cumplimiento de las medidas antes mencionadas y las leyes</w:t>
      </w:r>
    </w:p>
    <w:p w:rsidR="00B35291" w:rsidRDefault="006A1162" w:rsidP="006A1162">
      <w:pPr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aplicables.</w:t>
      </w:r>
    </w:p>
    <w:p w:rsidR="006A1162" w:rsidRPr="006A1162" w:rsidRDefault="006A1162" w:rsidP="006A1162">
      <w:pPr>
        <w:rPr>
          <w:lang w:val="es-EC"/>
        </w:rPr>
      </w:pPr>
    </w:p>
    <w:sectPr w:rsidR="006A1162" w:rsidRPr="006A1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291"/>
    <w:rsid w:val="006A1162"/>
    <w:rsid w:val="006E221B"/>
    <w:rsid w:val="00B3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6D109F"/>
  <w15:chartTrackingRefBased/>
  <w15:docId w15:val="{FBD01047-7DD5-4F62-9798-E00D314F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 Touche Tohmatsu Services, Inc.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Pozo, Irma</dc:creator>
  <cp:keywords/>
  <dc:description/>
  <cp:lastModifiedBy>Pozo, Irma</cp:lastModifiedBy>
  <cp:revision>2</cp:revision>
  <dcterms:created xsi:type="dcterms:W3CDTF">2020-11-11T00:08:00Z</dcterms:created>
  <dcterms:modified xsi:type="dcterms:W3CDTF">2020-11-11T00:08:00Z</dcterms:modified>
</cp:coreProperties>
</file>